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小标宋简体" w:eastAsia="方正小标宋简体"/>
          <w:sz w:val="22"/>
          <w:szCs w:val="36"/>
        </w:rPr>
      </w:pPr>
      <w:r>
        <w:rPr>
          <w:rFonts w:hint="eastAsia" w:ascii="方正小标宋简体" w:eastAsia="方正小标宋简体"/>
          <w:sz w:val="22"/>
          <w:szCs w:val="36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等线 Light" w:eastAsia="方正小标宋简体" w:cs="Times New Roman"/>
          <w:b w:val="0"/>
          <w:bCs w:val="0"/>
          <w:sz w:val="36"/>
          <w:szCs w:val="36"/>
        </w:rPr>
      </w:pPr>
      <w:r>
        <w:rPr>
          <w:rFonts w:hint="eastAsia" w:ascii="方正小标宋简体" w:hAnsi="等线 Light" w:eastAsia="方正小标宋简体" w:cs="Times New Roman"/>
          <w:b w:val="0"/>
          <w:bCs w:val="0"/>
          <w:sz w:val="36"/>
          <w:szCs w:val="36"/>
        </w:rPr>
        <w:t>面试人员须知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等线 Light" w:eastAsia="方正小标宋简体" w:cs="Times New Roman"/>
          <w:b w:val="0"/>
          <w:bCs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一、面试人员于面试当日凭有效二代身份证原件（或有效《二代临时身份证》）、面试准考证进入指定候考室并抽取面试顺序号，并在《面试顺序表》上签字，妥善保管好抽签号，凭抽签号进入考场参加面试，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  <w:highlight w:val="none"/>
        </w:rPr>
        <w:t>: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highlight w:val="none"/>
        </w:rPr>
        <w:t>0</w:t>
      </w:r>
      <w:r>
        <w:rPr>
          <w:rFonts w:hint="eastAsia" w:ascii="仿宋_GB2312" w:eastAsia="仿宋_GB2312"/>
          <w:sz w:val="32"/>
          <w:szCs w:val="32"/>
        </w:rPr>
        <w:t>之后仍未进入候考室的考生视为自动弃权，取消面试资格。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二、面试人员进入候考室后请关闭随身携带的通讯工具，在面试分数公布前不得使用。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三、候考期间，不得擅自离开候考室，不得大声喧哗、议论；需要去卫生间的，经报告候考室工作人员同意后，由同性别工作人员陪同前往和返回，不得与他人接触交谈。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四、进入面试考场后，面试人员只能向考官报告自己的抽签号，不得报告姓名。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五、面试中，认真理解考核要求，注意掌握时间，回答完毕后，应说“回答完毕”。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六、面试人员面试结束后，离开考场到指定的候分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室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等候，待公布面试成绩后离开考点。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 w:val="0"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七、自觉遵守考试纪律，尊重考官和其他考务工作人员，服从工作人员指挥和安排，保持候考室清洁卫生，如有发现违纪违规行为，将视情节轻重予以严肃处理。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